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3F37" w14:textId="174F771B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5D2DC6">
        <w:rPr>
          <w:b/>
          <w:sz w:val="24"/>
          <w:szCs w:val="24"/>
          <w:lang w:val="en-US"/>
        </w:rPr>
        <w:t>8</w:t>
      </w:r>
      <w:r w:rsidR="007122F5">
        <w:rPr>
          <w:b/>
          <w:sz w:val="24"/>
          <w:szCs w:val="24"/>
          <w:lang w:val="en-US"/>
        </w:rPr>
        <w:t>35PRO</w:t>
      </w:r>
      <w:r w:rsidR="002F7AFB">
        <w:rPr>
          <w:b/>
          <w:sz w:val="24"/>
          <w:szCs w:val="24"/>
          <w:lang w:val="en-US"/>
        </w:rPr>
        <w:t>GH</w:t>
      </w:r>
      <w:r w:rsidR="00A059BA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7122F5">
        <w:rPr>
          <w:b/>
          <w:sz w:val="24"/>
          <w:szCs w:val="24"/>
          <w:lang w:val="en-US"/>
        </w:rPr>
        <w:t xml:space="preserve">Professional </w:t>
      </w:r>
      <w:r w:rsidR="00A059BA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1546E697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5C08FEE1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6026D747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D1D9AF4" w14:textId="77777777" w:rsidR="00A73895" w:rsidRDefault="00A73895"/>
    <w:p w14:paraId="03CE6C8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2125D0AF" w14:textId="77777777" w:rsidR="00B667DE" w:rsidRPr="00B667DE" w:rsidRDefault="00B667DE">
      <w:pPr>
        <w:pStyle w:val="Subtitle"/>
        <w:rPr>
          <w:u w:val="none"/>
        </w:rPr>
      </w:pPr>
    </w:p>
    <w:p w14:paraId="42C37D0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0A12D6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257551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B67D4D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95DA15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0802460B" w14:textId="77777777" w:rsidR="00E133D6" w:rsidRPr="00E133D6" w:rsidRDefault="00E133D6" w:rsidP="00E133D6">
      <w:pPr>
        <w:rPr>
          <w:sz w:val="24"/>
          <w:szCs w:val="24"/>
        </w:rPr>
      </w:pPr>
    </w:p>
    <w:p w14:paraId="5A45CE84" w14:textId="2CDDBEAB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5D2DC6">
        <w:rPr>
          <w:sz w:val="24"/>
          <w:szCs w:val="24"/>
        </w:rPr>
        <w:t>8</w:t>
      </w:r>
      <w:r w:rsidR="007122F5">
        <w:rPr>
          <w:sz w:val="24"/>
          <w:szCs w:val="24"/>
        </w:rPr>
        <w:t>35PRO</w:t>
      </w:r>
      <w:r w:rsidR="002F7AFB">
        <w:rPr>
          <w:sz w:val="24"/>
          <w:szCs w:val="24"/>
        </w:rPr>
        <w:t>GH</w:t>
      </w:r>
      <w:r w:rsidR="00A059BA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7122F5">
        <w:rPr>
          <w:sz w:val="24"/>
          <w:szCs w:val="24"/>
        </w:rPr>
        <w:t>Professional</w:t>
      </w:r>
      <w:r w:rsidR="005E02D3">
        <w:rPr>
          <w:sz w:val="24"/>
          <w:szCs w:val="24"/>
        </w:rPr>
        <w:t xml:space="preserve"> </w:t>
      </w:r>
      <w:r w:rsidR="00A059BA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43107279" w14:textId="77777777" w:rsidR="00E133D6" w:rsidRPr="00E133D6" w:rsidRDefault="00E133D6" w:rsidP="00E133D6">
      <w:pPr>
        <w:rPr>
          <w:sz w:val="24"/>
          <w:szCs w:val="24"/>
        </w:rPr>
      </w:pPr>
    </w:p>
    <w:p w14:paraId="6904619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68211C0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93CEC2B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113D0D3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E316194" w14:textId="77777777" w:rsidR="00D52820" w:rsidRDefault="00D52820" w:rsidP="00D52820">
      <w:pPr>
        <w:rPr>
          <w:sz w:val="24"/>
          <w:szCs w:val="24"/>
        </w:rPr>
      </w:pPr>
    </w:p>
    <w:p w14:paraId="7779601A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668B0AC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94E6742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4FDC58B2" w14:textId="77777777" w:rsidR="000842F8" w:rsidRDefault="000842F8" w:rsidP="000842F8">
      <w:pPr>
        <w:rPr>
          <w:b/>
          <w:sz w:val="24"/>
          <w:szCs w:val="24"/>
        </w:rPr>
      </w:pPr>
    </w:p>
    <w:p w14:paraId="5343791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5E89F5D8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DA9550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142FED8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0DB7EA7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63A9FD2A" w14:textId="77777777" w:rsidR="00E133D6" w:rsidRPr="00E133D6" w:rsidRDefault="00E133D6" w:rsidP="00E133D6">
      <w:pPr>
        <w:rPr>
          <w:sz w:val="24"/>
          <w:szCs w:val="24"/>
        </w:rPr>
      </w:pPr>
    </w:p>
    <w:p w14:paraId="0B6227BA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4F9ABA86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A059BA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A059BA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7DF28A1B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5CA92F6F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618D9874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101E7FE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7D1D41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665EB090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9A867BE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CA0BF4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DD7368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3452A451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61768CC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1C03372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4266FDD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42465C4" w14:textId="77777777" w:rsidR="00E133D6" w:rsidRPr="00E133D6" w:rsidRDefault="00E133D6" w:rsidP="00E133D6">
      <w:pPr>
        <w:rPr>
          <w:sz w:val="24"/>
          <w:szCs w:val="24"/>
        </w:rPr>
      </w:pPr>
    </w:p>
    <w:p w14:paraId="0360C91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330EB293" w14:textId="77777777" w:rsidR="00E133D6" w:rsidRPr="00E133D6" w:rsidRDefault="00E133D6" w:rsidP="00E133D6">
      <w:pPr>
        <w:rPr>
          <w:sz w:val="24"/>
          <w:szCs w:val="24"/>
        </w:rPr>
      </w:pPr>
    </w:p>
    <w:p w14:paraId="55E56E9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5DD18C9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4B0BA45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8ABB65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E7F8F5D" w14:textId="77777777" w:rsidR="00E133D6" w:rsidRPr="00E133D6" w:rsidRDefault="00E133D6" w:rsidP="00E133D6">
      <w:pPr>
        <w:rPr>
          <w:sz w:val="24"/>
          <w:szCs w:val="24"/>
        </w:rPr>
      </w:pPr>
    </w:p>
    <w:p w14:paraId="4EAB8F2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269F464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758B2D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30D2BFA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200F0458" w14:textId="77777777" w:rsidR="00E133D6" w:rsidRPr="00E133D6" w:rsidRDefault="00E133D6" w:rsidP="00E133D6">
      <w:pPr>
        <w:rPr>
          <w:sz w:val="24"/>
          <w:szCs w:val="24"/>
        </w:rPr>
      </w:pPr>
    </w:p>
    <w:p w14:paraId="7B2670E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0CC6D61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311025B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E944581" w14:textId="77777777" w:rsidR="00A73895" w:rsidRDefault="00A73895">
      <w:pPr>
        <w:rPr>
          <w:sz w:val="24"/>
        </w:rPr>
      </w:pPr>
    </w:p>
    <w:p w14:paraId="193B6E03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17F81E37" w14:textId="77777777" w:rsidR="00B40C06" w:rsidRDefault="00B40C06">
      <w:pPr>
        <w:rPr>
          <w:b/>
          <w:sz w:val="24"/>
        </w:rPr>
      </w:pPr>
    </w:p>
    <w:p w14:paraId="24ABF581" w14:textId="5DB8C69A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5D2DC6">
        <w:rPr>
          <w:b/>
          <w:sz w:val="24"/>
        </w:rPr>
        <w:t>8</w:t>
      </w:r>
      <w:r w:rsidR="007122F5">
        <w:rPr>
          <w:b/>
          <w:sz w:val="24"/>
        </w:rPr>
        <w:t>35PRO</w:t>
      </w:r>
      <w:r w:rsidR="002F7AFB">
        <w:rPr>
          <w:b/>
          <w:sz w:val="24"/>
        </w:rPr>
        <w:t>GH</w:t>
      </w:r>
      <w:r w:rsidR="00A059BA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7122F5">
        <w:rPr>
          <w:b/>
          <w:sz w:val="24"/>
        </w:rPr>
        <w:t>Professional</w:t>
      </w:r>
      <w:r w:rsidR="00A059BA">
        <w:rPr>
          <w:b/>
          <w:sz w:val="24"/>
        </w:rPr>
        <w:br/>
        <w:t xml:space="preserve">                        Plate Mount </w:t>
      </w:r>
      <w:r w:rsidR="00734339">
        <w:rPr>
          <w:b/>
          <w:sz w:val="24"/>
        </w:rPr>
        <w:t>Football 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3F62150" w14:textId="77777777" w:rsidR="00A73895" w:rsidRDefault="00A73895">
      <w:pPr>
        <w:pStyle w:val="BodyTextIndent"/>
        <w:ind w:left="0"/>
        <w:rPr>
          <w:sz w:val="20"/>
        </w:rPr>
      </w:pPr>
    </w:p>
    <w:p w14:paraId="4468F6E5" w14:textId="070C1B2B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5D2DC6">
        <w:rPr>
          <w:sz w:val="24"/>
          <w:lang w:val="en-US"/>
        </w:rPr>
        <w:t>8</w:t>
      </w:r>
      <w:r w:rsidR="007122F5">
        <w:rPr>
          <w:sz w:val="24"/>
          <w:lang w:val="en-US"/>
        </w:rPr>
        <w:t>35PRO</w:t>
      </w:r>
      <w:r w:rsidR="002F7AFB">
        <w:rPr>
          <w:sz w:val="24"/>
          <w:lang w:val="en-US"/>
        </w:rPr>
        <w:t>GH</w:t>
      </w:r>
      <w:r w:rsidR="00A059BA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7122F5">
        <w:rPr>
          <w:sz w:val="24"/>
          <w:lang w:val="en-US"/>
        </w:rPr>
        <w:t>Professional</w:t>
      </w:r>
      <w:r w:rsidR="00A059BA">
        <w:rPr>
          <w:sz w:val="24"/>
          <w:lang w:val="en-US"/>
        </w:rPr>
        <w:br/>
        <w:t xml:space="preserve">                                      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A059BA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A059BA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09D47A59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76662ED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6DEDF995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5D8CC103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7BD581E7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48E577C0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262FCBE8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12AE3DE1" w14:textId="3AA4A6F8" w:rsidR="000842F8" w:rsidRDefault="008D586C">
      <w:pPr>
        <w:pStyle w:val="BodyTextIndent"/>
        <w:ind w:left="2160" w:firstLine="720"/>
        <w:rPr>
          <w:sz w:val="24"/>
        </w:rPr>
      </w:pPr>
      <w:hyperlink r:id="rId8" w:history="1">
        <w:r w:rsidR="001041B3" w:rsidRPr="000B6392">
          <w:rPr>
            <w:rStyle w:val="Hyperlink"/>
          </w:rPr>
          <w:t>www.sportsfield.com</w:t>
        </w:r>
      </w:hyperlink>
    </w:p>
    <w:p w14:paraId="418895DD" w14:textId="77777777" w:rsidR="00EF201D" w:rsidRDefault="00EF201D">
      <w:pPr>
        <w:pStyle w:val="BodyTextIndent"/>
        <w:ind w:left="0"/>
        <w:rPr>
          <w:sz w:val="24"/>
        </w:rPr>
      </w:pPr>
    </w:p>
    <w:p w14:paraId="2FEA10CF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4193A0A7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5786FD22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70A9F2B7" w14:textId="6743859F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5D2DC6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42D14FD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72F1B50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DBA2B3A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2A1922B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2155ADBC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57890">
        <w:rPr>
          <w:sz w:val="24"/>
          <w:lang w:val="en-US"/>
        </w:rPr>
        <w:t>, Includes Padlock</w:t>
      </w:r>
    </w:p>
    <w:p w14:paraId="6EF6C44F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0BD601B0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2C0B8180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5073C6B1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049A612D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318EABE7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49658B5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57A075CE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1D445D0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07871E93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65AC90FE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284344D4" w14:textId="77777777" w:rsidR="00E434DF" w:rsidRP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18</w:t>
      </w:r>
      <w:r>
        <w:rPr>
          <w:sz w:val="24"/>
        </w:rPr>
        <w:t>’</w:t>
      </w:r>
      <w:r>
        <w:rPr>
          <w:sz w:val="24"/>
          <w:lang w:val="en-US"/>
        </w:rPr>
        <w:t>-6</w:t>
      </w:r>
      <w:r>
        <w:rPr>
          <w:sz w:val="24"/>
        </w:rPr>
        <w:t xml:space="preserve">” - </w:t>
      </w:r>
      <w:r>
        <w:rPr>
          <w:sz w:val="24"/>
          <w:lang w:val="en-US"/>
        </w:rPr>
        <w:t>Professional</w:t>
      </w:r>
    </w:p>
    <w:p w14:paraId="37B449B7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1A7CBD03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3E6BD32A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35’</w:t>
      </w:r>
      <w:r>
        <w:rPr>
          <w:sz w:val="24"/>
        </w:rPr>
        <w:t xml:space="preserve"> - </w:t>
      </w:r>
      <w:r>
        <w:rPr>
          <w:sz w:val="24"/>
          <w:lang w:val="en-US"/>
        </w:rPr>
        <w:t>Professional</w:t>
      </w:r>
    </w:p>
    <w:p w14:paraId="4990B924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501B6D79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47439B2A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</w:p>
    <w:p w14:paraId="07A47CCB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4C5425C0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533924D2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lastRenderedPageBreak/>
        <w:t>Base Plate Mounting Kit</w:t>
      </w:r>
    </w:p>
    <w:p w14:paraId="52465F9C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70CEBCE9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46321D4C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0B9AC0C2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4AE18547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8C2D47A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755E246F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37A8A78B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5C3044A7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42C6AD9C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AFF0593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0485B252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1816A612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37EDAF72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34707704" w14:textId="77777777" w:rsidR="00A73895" w:rsidRDefault="00A73895">
      <w:pPr>
        <w:rPr>
          <w:sz w:val="24"/>
        </w:rPr>
      </w:pPr>
    </w:p>
    <w:p w14:paraId="59929CAF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6891C34F" w14:textId="77777777" w:rsidR="00A73895" w:rsidRDefault="00A73895">
      <w:pPr>
        <w:rPr>
          <w:sz w:val="24"/>
        </w:rPr>
      </w:pPr>
    </w:p>
    <w:p w14:paraId="3AFE9075" w14:textId="13C60FB0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5D2DC6">
        <w:rPr>
          <w:sz w:val="24"/>
        </w:rPr>
        <w:t>8</w:t>
      </w:r>
      <w:r w:rsidR="007122F5">
        <w:rPr>
          <w:sz w:val="24"/>
        </w:rPr>
        <w:t>35PRO</w:t>
      </w:r>
      <w:r w:rsidR="002F7AFB">
        <w:rPr>
          <w:sz w:val="24"/>
        </w:rPr>
        <w:t>GH</w:t>
      </w:r>
      <w:r w:rsidR="00A059BA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7122F5">
        <w:rPr>
          <w:sz w:val="24"/>
        </w:rPr>
        <w:t>Professional</w:t>
      </w:r>
      <w:r w:rsidR="00A059BA">
        <w:rPr>
          <w:sz w:val="24"/>
        </w:rPr>
        <w:t xml:space="preserve"> Plate Mount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52F89B6A" w14:textId="77777777" w:rsidR="00A73895" w:rsidRDefault="00A73895">
      <w:pPr>
        <w:rPr>
          <w:sz w:val="24"/>
        </w:rPr>
      </w:pPr>
    </w:p>
    <w:p w14:paraId="266F1337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9F6C" w14:textId="77777777" w:rsidR="008D586C" w:rsidRDefault="008D586C">
      <w:r>
        <w:separator/>
      </w:r>
    </w:p>
  </w:endnote>
  <w:endnote w:type="continuationSeparator" w:id="0">
    <w:p w14:paraId="06EFDA2E" w14:textId="77777777" w:rsidR="008D586C" w:rsidRDefault="008D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4200" w14:textId="311B5D5D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1041B3">
      <w:rPr>
        <w:sz w:val="24"/>
      </w:rPr>
      <w:t>8</w:t>
    </w:r>
    <w:r>
      <w:rPr>
        <w:sz w:val="24"/>
      </w:rPr>
      <w:t>.</w:t>
    </w:r>
    <w:r w:rsidR="00A059BA">
      <w:rPr>
        <w:sz w:val="24"/>
      </w:rPr>
      <w:t>1</w:t>
    </w:r>
    <w:r w:rsidR="001041B3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A059BA">
      <w:rPr>
        <w:sz w:val="24"/>
      </w:rPr>
      <w:t>1</w:t>
    </w:r>
  </w:p>
  <w:p w14:paraId="7642BF15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79A97499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B79B" w14:textId="77777777" w:rsidR="008D586C" w:rsidRDefault="008D586C">
      <w:r>
        <w:separator/>
      </w:r>
    </w:p>
  </w:footnote>
  <w:footnote w:type="continuationSeparator" w:id="0">
    <w:p w14:paraId="3D8BFF7A" w14:textId="77777777" w:rsidR="008D586C" w:rsidRDefault="008D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C6DF2"/>
    <w:rsid w:val="000D5F0A"/>
    <w:rsid w:val="000E181F"/>
    <w:rsid w:val="001041B3"/>
    <w:rsid w:val="00112AA6"/>
    <w:rsid w:val="0012165B"/>
    <w:rsid w:val="00124AAC"/>
    <w:rsid w:val="001308FF"/>
    <w:rsid w:val="001377C9"/>
    <w:rsid w:val="001647DE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57890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EAD"/>
    <w:rsid w:val="00565985"/>
    <w:rsid w:val="005913A1"/>
    <w:rsid w:val="005D2DC6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8C9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859EA"/>
    <w:rsid w:val="008A1701"/>
    <w:rsid w:val="008C1D4C"/>
    <w:rsid w:val="008C2123"/>
    <w:rsid w:val="008D586C"/>
    <w:rsid w:val="008D6E7B"/>
    <w:rsid w:val="008F3AC9"/>
    <w:rsid w:val="008F4D90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059BA"/>
    <w:rsid w:val="00A22C43"/>
    <w:rsid w:val="00A324F8"/>
    <w:rsid w:val="00A458B7"/>
    <w:rsid w:val="00A4596E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ADD2C01"/>
  <w15:chartTrackingRefBased/>
  <w15:docId w15:val="{E1B0EA2E-BA07-40E7-AA99-C2149D72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10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6977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2021-08-11T20:50:00Z</dcterms:created>
  <dcterms:modified xsi:type="dcterms:W3CDTF">2021-08-11T20:50:00Z</dcterms:modified>
</cp:coreProperties>
</file>